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93475" y="1257075"/>
                          <a:ext cx="2224088" cy="1034736"/>
                          <a:chOff x="1693475" y="1257075"/>
                          <a:chExt cx="2803350" cy="12954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2665925" y="1535325"/>
                            <a:ext cx="1830900" cy="7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helsea Market" w:cs="Chelsea Market" w:eastAsia="Chelsea Market" w:hAnsi="Chelsea Market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CEFR EASTERN ONTARIO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500" y="1257087"/>
                            <a:ext cx="1295375" cy="1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7389450</wp:posOffset>
                </wp:positionH>
                <wp:positionV relativeFrom="page">
                  <wp:posOffset>432388</wp:posOffset>
                </wp:positionV>
                <wp:extent cx="2224088" cy="103473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088" cy="10347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SUB-TASKS RELATED TO: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4"/>
          <w:szCs w:val="34"/>
          <w:rtl w:val="0"/>
        </w:rPr>
        <w:t xml:space="preserve">Engaging in Conversation with Others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45"/>
        <w:gridCol w:w="2385"/>
        <w:gridCol w:w="3360"/>
        <w:gridCol w:w="2265"/>
        <w:gridCol w:w="2415"/>
        <w:gridCol w:w="1755"/>
        <w:tblGridChange w:id="0">
          <w:tblGrid>
            <w:gridCol w:w="2445"/>
            <w:gridCol w:w="2385"/>
            <w:gridCol w:w="3360"/>
            <w:gridCol w:w="2265"/>
            <w:gridCol w:w="2415"/>
            <w:gridCol w:w="175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Sub-task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(Building Competences to Support the Completion of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Activities/ Resources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(e.g., links, slideshows, videos, podcasts, articles, classroom activities)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“I can” / “Je peux”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Statements for Sub-task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(these connect to the “I can statements” on the teacher planning sheet for the AO Task)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Activities/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Strategies (the what)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Communicative Language Competences (the how), and Plurilingualism/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Pluriculturalism</w:t>
            </w:r>
          </w:p>
        </w:tc>
        <w:tc>
          <w:tcPr>
            <w:shd w:fill="c9daf8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Possible Assessment for Sub-task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Asking and responding to a friend in a conversation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Find the match - strips from worksheet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8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Trouve le match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students read strip and try to find response that corresponds - once pairs have found match - have each read it aloud to class - repeat activity with students having a different strip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lire et comprendre des questions et des réponses.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read and understand questions and responses.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Expressing time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Mill to Music &amp; Information Exchange - strips from worksheet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9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Échange </w:t>
              </w:r>
            </w:hyperlink>
            <w:hyperlink r:id="rId10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d'informations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and students use time expressions to describe daily agenda, then exchange strips and repeat with new strip when music stops again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décrire l’horaire avec les expressions de temps.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describe the agenda using time expressions.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Beginning and ending a conversation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Smiley Face/Sad Face - print or draw large happy face and sad face - students move around - teacher holds up face, students stop, find close partner and practise a greeting expression if happy face or a leave-taking expression if sad face - then, repeat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hyperlink r:id="rId11">
              <w:r w:rsidDel="00000000" w:rsidR="00000000" w:rsidRPr="00000000">
                <w:rPr>
                  <w:rFonts w:ascii="Lexend" w:cs="Lexend" w:eastAsia="Lexend" w:hAnsi="Lexend"/>
                  <w:color w:val="1155cc"/>
                  <w:u w:val="single"/>
                  <w:rtl w:val="0"/>
                </w:rPr>
                <w:t xml:space="preserve">Slideshow - Slide 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</w:rPr>
              <w:drawing>
                <wp:inline distB="114300" distT="114300" distL="114300" distR="114300">
                  <wp:extent cx="1343025" cy="7493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Je peux utiliser des phrases de salutation et de prise de congé simples.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I can use basic greeting and leave-taking expressions.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Reception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Production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Interaction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Mediation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Linguistic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Socio-linguistic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Pragmatic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Plurilingualism/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    Pluriculturalism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Listening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  <w:highlight w:val="yellow"/>
              </w:rPr>
            </w:pPr>
            <w:r w:rsidDel="00000000" w:rsidR="00000000" w:rsidRPr="00000000">
              <w:rPr>
                <w:rFonts w:ascii="Lexend" w:cs="Lexend" w:eastAsia="Lexend" w:hAnsi="Lexend"/>
                <w:highlight w:val="yellow"/>
                <w:rtl w:val="0"/>
              </w:rPr>
              <w:t xml:space="preserve">☐ Speaking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Reading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☐ Writing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before="200"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* It is up to teachers to determine whether the sub-tasks are assessments FOR learning, OF learning, or AS learning.</w:t>
      </w:r>
    </w:p>
    <w:sectPr>
      <w:headerReference r:id="rId13" w:type="default"/>
      <w:footerReference r:id="rId14" w:type="default"/>
      <w:pgSz w:h="12240" w:w="15840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>
        <w:rFonts w:ascii="Lexend" w:cs="Lexend" w:eastAsia="Lexend" w:hAnsi="Lexend"/>
      </w:rPr>
    </w:pPr>
    <w:r w:rsidDel="00000000" w:rsidR="00000000" w:rsidRPr="00000000">
      <w:rPr>
        <w:rFonts w:ascii="Lexend" w:cs="Lexend" w:eastAsia="Lexend" w:hAnsi="Lexend"/>
        <w:rtl w:val="0"/>
      </w:rPr>
      <w:t xml:space="preserve">CEFR Eastern Ontario,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OlxBgzpBNKocPWLPQl4Syjkpe2-yr1PdDeTOMNFwexU/edit?usp=sharing" TargetMode="External"/><Relationship Id="rId10" Type="http://schemas.openxmlformats.org/officeDocument/2006/relationships/hyperlink" Target="https://docs.google.com/document/d/1nOAnH2yEynEBqu0Ljbt_aLxQ0s2iTfyS2xs48klmYXQ/edit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nOAnH2yEynEBqu0Ljbt_aLxQ0s2iTfyS2xs48klmYXQ/ed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Yyde0MZe2yGqMdY6w42s8wUsGQc25B6oBVclbMqru74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