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3475" y="1257075"/>
                          <a:ext cx="2224088" cy="1034736"/>
                          <a:chOff x="1693475" y="1257075"/>
                          <a:chExt cx="2803350" cy="12954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665925" y="1535325"/>
                            <a:ext cx="1830900" cy="7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helsea Market" w:cs="Chelsea Market" w:eastAsia="Chelsea Market" w:hAnsi="Chelsea Market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CEFR EASTERN ONTARIO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3500" y="1257087"/>
                            <a:ext cx="1295375" cy="12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088" cy="1034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  <w:rtl w:val="0"/>
        </w:rPr>
        <w:t xml:space="preserve">SUB-TASKS RELATED TO: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4"/>
          <w:szCs w:val="3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4"/>
          <w:szCs w:val="34"/>
          <w:rtl w:val="0"/>
        </w:rPr>
        <w:t xml:space="preserve">Sharing the Personal Information of Others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45"/>
        <w:gridCol w:w="2385"/>
        <w:gridCol w:w="3360"/>
        <w:gridCol w:w="2265"/>
        <w:gridCol w:w="2415"/>
        <w:gridCol w:w="1755"/>
        <w:tblGridChange w:id="0">
          <w:tblGrid>
            <w:gridCol w:w="2445"/>
            <w:gridCol w:w="2385"/>
            <w:gridCol w:w="3360"/>
            <w:gridCol w:w="2265"/>
            <w:gridCol w:w="2415"/>
            <w:gridCol w:w="175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Sub-task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(Building Competences to Support the Completion of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Activities/ Resources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(e.g., links, slideshows, videos, podcasts, articles, classroom activities)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“I can” / “Je peux”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Statements for Sub-task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(these connect to the “I can statements” on the teacher planning sheet for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Activities/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Strategies (the what)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Competences (the how), and Plurilingualism/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Pluriculturalism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Assessment for Sub-task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restart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Greeting each other in more than one language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Ask elbow partner how they say “hello” and share those ways with class (pp. 56-57 TG)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dire “bonjour” dans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des langues différentes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 et comment mon ami dit “bonjour”.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greet others in different languages and say how my friend greets others.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Watch and ask questions about module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video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“Je présente mes amis” (p. 18-19 text: pp. 57-58 TG)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comprendre une vidéo.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understand a video.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identifier les noms des amis et comment ils disent “bonjour”.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identify names and ways they said “hello”.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Survey - record ways students say “hello” in different languages -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noting number of speakers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for each language (p. 58 TG)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dire “bonjour” dans des langues différentes et comment mes amis disent “bonjour”.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greet others in different languages and say how my friends greet others.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restart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Identifying basic personal information, preferences and languages spoken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Role-play reporter asking peers basic personal information &amp; preferences (p. 56 TG)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identifier des informations personnelles, les préférences et les langues parlées de mes ami.e.s.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identify personal information, preferences and languages spoken by my friends.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Watch module video “Je présente mes amis” again (p. 18-19 text) and complete worksheet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FA7 :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 entrevues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by recording information from video (p. 60 TG)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identifier des informations personnelles, les préférences et les langues parlées d’un clip.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identify personal information, preferences and languages spoken in the video.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Get signatures- find peers who have same information, complete worksheet  (pp. 62-63 TG)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8 : Je pose des que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poser des questions personnelles et répondre aux questions personnelles.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ask and respond to personal questions.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Complete phrases with personal information and images on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worksheet: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FA1 :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me présente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écrire des informations personnelles, mes préférences et comment je dis “bonjour”.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write about my personal information, preferences and how I say “hello”.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restart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Building vocabulary related to greetings and personal information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Listen to the module song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Chanson : Bonjour ! Salut !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(pp. 20-21 text) for familiar words and phrases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identifier les mots familiers d’une chanson.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identify familiar words in a song.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comprendre une chanson.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understand a song.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Listen to the module song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Chanson : Bonjour ! Salut !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again (pp. 20-21 text) and stand when phrase/image is heard from worksheet (p. 67 TG)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FA9 : Bonjour ! Salut !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identifier les mots familiers d’une chanson.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identify familiar words in a song.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comprendre une chanson.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understand a song.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Listen to the module song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Chanson : Bonjour ! Salut !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again (pp. 20-21 text) and ask questions for understanding of personal information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comprendre des informations personnelles d’une chanson.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understand the personal information shared in a song.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spacing w:before="200"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* It is up to teachers to determine whether the sub-tasks are assessments FOR learning, OF learning, or AS learning.</w:t>
      </w:r>
    </w:p>
    <w:p w:rsidR="00000000" w:rsidDel="00000000" w:rsidP="00000000" w:rsidRDefault="00000000" w:rsidRPr="00000000" w14:paraId="000000CC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jc w:val="right"/>
      <w:rPr>
        <w:rFonts w:ascii="Lexend" w:cs="Lexend" w:eastAsia="Lexend" w:hAnsi="Lexend"/>
      </w:rPr>
    </w:pPr>
    <w:r w:rsidDel="00000000" w:rsidR="00000000" w:rsidRPr="00000000">
      <w:rPr>
        <w:rFonts w:ascii="Lexend" w:cs="Lexend" w:eastAsia="Lexend" w:hAnsi="Lexend"/>
        <w:rtl w:val="0"/>
      </w:rPr>
      <w:t xml:space="preserve">CEFR Eastern Ontario,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